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2CEDC" w14:textId="1F5A1A35" w:rsidR="00946D0B" w:rsidRPr="00CD53DC" w:rsidRDefault="00CD53DC" w:rsidP="00DB232B">
      <w:pPr>
        <w:spacing w:before="157" w:after="157" w:line="276" w:lineRule="auto"/>
        <w:jc w:val="both"/>
        <w:rPr>
          <w:rFonts w:ascii="Arial" w:hAnsi="Arial" w:cs="Arial"/>
          <w:sz w:val="22"/>
        </w:rPr>
      </w:pPr>
      <w:bookmarkStart w:id="0" w:name="oecd_briefing_paper_strategic_imp_6397fc"/>
      <w:r>
        <w:rPr>
          <w:rFonts w:ascii="Arial" w:eastAsia="Georgia" w:hAnsi="Arial" w:cs="Arial"/>
          <w:b/>
          <w:color w:val="000000"/>
          <w:sz w:val="22"/>
        </w:rPr>
        <w:t>ISRM</w:t>
      </w:r>
      <w:r w:rsidR="00DE2FD5" w:rsidRPr="00CD53DC">
        <w:rPr>
          <w:rFonts w:ascii="Arial" w:eastAsia="Georgia" w:hAnsi="Arial" w:cs="Arial"/>
          <w:b/>
          <w:color w:val="000000"/>
          <w:sz w:val="22"/>
        </w:rPr>
        <w:t xml:space="preserve"> Briefing Paper: Strategic Implications of Healthy Aging </w:t>
      </w:r>
      <w:bookmarkEnd w:id="0"/>
      <w:r>
        <w:rPr>
          <w:rFonts w:ascii="Arial" w:eastAsia="Georgia" w:hAnsi="Arial" w:cs="Arial"/>
          <w:b/>
          <w:color w:val="000000"/>
          <w:sz w:val="22"/>
        </w:rPr>
        <w:t>Populations Dynamics</w:t>
      </w:r>
    </w:p>
    <w:p w14:paraId="7A4C6333" w14:textId="08845DAE" w:rsidR="00CD53DC" w:rsidRDefault="00DE2FD5" w:rsidP="009C6A61">
      <w:pPr>
        <w:spacing w:after="210" w:line="276" w:lineRule="auto"/>
        <w:rPr>
          <w:rFonts w:ascii="Arial" w:eastAsia="Georgia" w:hAnsi="Arial" w:cs="Arial"/>
          <w:color w:val="000000"/>
          <w:sz w:val="22"/>
        </w:rPr>
      </w:pPr>
      <w:r w:rsidRPr="00CD53DC">
        <w:rPr>
          <w:rFonts w:ascii="Arial" w:eastAsia="Georgia" w:hAnsi="Arial" w:cs="Arial"/>
          <w:b/>
          <w:color w:val="000000"/>
          <w:sz w:val="22"/>
        </w:rPr>
        <w:t>Prepared by:</w:t>
      </w:r>
      <w:r w:rsidR="009C6A61">
        <w:rPr>
          <w:rFonts w:ascii="Arial" w:eastAsia="Georgia" w:hAnsi="Arial" w:cs="Arial"/>
          <w:b/>
          <w:color w:val="000000"/>
          <w:sz w:val="22"/>
        </w:rPr>
        <w:t xml:space="preserve"> </w:t>
      </w:r>
      <w:r w:rsidR="009C6A61" w:rsidRPr="009C6A61">
        <w:rPr>
          <w:rFonts w:ascii="Arial" w:eastAsia="Georgia" w:hAnsi="Arial" w:cs="Arial"/>
          <w:color w:val="000000"/>
          <w:sz w:val="22"/>
        </w:rPr>
        <w:t>Mr.</w:t>
      </w:r>
      <w:r w:rsidRPr="00CD53DC">
        <w:rPr>
          <w:rFonts w:ascii="Arial" w:eastAsia="Georgia" w:hAnsi="Arial" w:cs="Arial"/>
          <w:color w:val="000000"/>
          <w:sz w:val="22"/>
        </w:rPr>
        <w:t xml:space="preserve"> </w:t>
      </w:r>
      <w:r w:rsidR="00CD53DC">
        <w:rPr>
          <w:rFonts w:ascii="Arial" w:eastAsia="Georgia" w:hAnsi="Arial" w:cs="Arial"/>
          <w:color w:val="000000"/>
          <w:sz w:val="22"/>
        </w:rPr>
        <w:t xml:space="preserve">William Domanski </w:t>
      </w:r>
      <w:r w:rsidR="009C6A61">
        <w:rPr>
          <w:rFonts w:ascii="Arial" w:eastAsia="Georgia" w:hAnsi="Arial" w:cs="Arial"/>
          <w:color w:val="000000"/>
          <w:sz w:val="22"/>
        </w:rPr>
        <w:t>(</w:t>
      </w:r>
      <w:proofErr w:type="gramStart"/>
      <w:r w:rsidR="009C6A61">
        <w:rPr>
          <w:rFonts w:ascii="Arial" w:eastAsia="Georgia" w:hAnsi="Arial" w:cs="Arial"/>
          <w:color w:val="000000"/>
          <w:sz w:val="22"/>
        </w:rPr>
        <w:t>F.ISRM</w:t>
      </w:r>
      <w:proofErr w:type="gramEnd"/>
      <w:r w:rsidR="009C6A61">
        <w:rPr>
          <w:rFonts w:ascii="Arial" w:eastAsia="Georgia" w:hAnsi="Arial" w:cs="Arial"/>
          <w:color w:val="000000"/>
          <w:sz w:val="22"/>
        </w:rPr>
        <w:t xml:space="preserve">) &amp; Mr. Paul </w:t>
      </w:r>
      <w:proofErr w:type="spellStart"/>
      <w:r w:rsidR="009C6A61">
        <w:rPr>
          <w:rFonts w:ascii="Arial" w:eastAsia="Georgia" w:hAnsi="Arial" w:cs="Arial"/>
          <w:color w:val="000000"/>
          <w:sz w:val="22"/>
        </w:rPr>
        <w:t>Vorbach</w:t>
      </w:r>
      <w:proofErr w:type="spellEnd"/>
      <w:r w:rsidR="009C6A61">
        <w:rPr>
          <w:rFonts w:ascii="Arial" w:eastAsia="Georgia" w:hAnsi="Arial" w:cs="Arial"/>
          <w:color w:val="000000"/>
          <w:sz w:val="22"/>
        </w:rPr>
        <w:t xml:space="preserve"> </w:t>
      </w:r>
      <w:r w:rsidR="00CD53DC">
        <w:rPr>
          <w:rFonts w:ascii="Arial" w:eastAsia="Georgia" w:hAnsi="Arial" w:cs="Arial"/>
          <w:color w:val="000000"/>
          <w:sz w:val="22"/>
        </w:rPr>
        <w:t>(F.ISRM)</w:t>
      </w:r>
      <w:bookmarkStart w:id="1" w:name="_GoBack"/>
      <w:bookmarkEnd w:id="1"/>
      <w:r w:rsidR="00CD53DC">
        <w:rPr>
          <w:rFonts w:ascii="Arial" w:eastAsia="Georgia" w:hAnsi="Arial" w:cs="Arial"/>
          <w:color w:val="000000"/>
          <w:sz w:val="22"/>
        </w:rPr>
        <w:t>, ISRM ANZ Committee</w:t>
      </w:r>
      <w:r w:rsidR="009C6A61">
        <w:rPr>
          <w:rFonts w:ascii="Arial" w:eastAsia="Georgia" w:hAnsi="Arial" w:cs="Arial"/>
          <w:color w:val="000000"/>
          <w:sz w:val="22"/>
        </w:rPr>
        <w:t>.</w:t>
      </w:r>
    </w:p>
    <w:p w14:paraId="2E22CEDE" w14:textId="0546B47D" w:rsidR="00946D0B" w:rsidRPr="00CD53DC" w:rsidRDefault="00DE2FD5" w:rsidP="00DB232B">
      <w:pPr>
        <w:spacing w:after="210" w:line="276" w:lineRule="auto"/>
        <w:jc w:val="both"/>
        <w:rPr>
          <w:rFonts w:ascii="Arial" w:hAnsi="Arial" w:cs="Arial"/>
          <w:sz w:val="22"/>
        </w:rPr>
      </w:pPr>
      <w:r w:rsidRPr="00CD53DC">
        <w:rPr>
          <w:rFonts w:ascii="Arial" w:eastAsia="Georgia" w:hAnsi="Arial" w:cs="Arial"/>
          <w:b/>
          <w:color w:val="000000"/>
          <w:sz w:val="22"/>
        </w:rPr>
        <w:t>Date:</w:t>
      </w:r>
      <w:r w:rsidRPr="00CD53DC">
        <w:rPr>
          <w:rFonts w:ascii="Arial" w:eastAsia="Georgia" w:hAnsi="Arial" w:cs="Arial"/>
          <w:color w:val="000000"/>
          <w:sz w:val="22"/>
        </w:rPr>
        <w:t xml:space="preserve"> April 2026 </w:t>
      </w:r>
    </w:p>
    <w:p w14:paraId="2E22CEDF" w14:textId="77777777" w:rsidR="00946D0B" w:rsidRPr="00CD53DC" w:rsidRDefault="00DE2FD5" w:rsidP="00DB232B">
      <w:pPr>
        <w:spacing w:before="315" w:after="105" w:line="276" w:lineRule="auto"/>
        <w:ind w:left="-30"/>
        <w:jc w:val="both"/>
        <w:rPr>
          <w:rFonts w:ascii="Arial" w:hAnsi="Arial" w:cs="Arial"/>
          <w:sz w:val="22"/>
        </w:rPr>
      </w:pPr>
      <w:bookmarkStart w:id="2" w:name="purpose"/>
      <w:r w:rsidRPr="00CD53DC">
        <w:rPr>
          <w:rFonts w:ascii="Arial" w:eastAsia="Georgia" w:hAnsi="Arial" w:cs="Arial"/>
          <w:b/>
          <w:color w:val="000000"/>
          <w:sz w:val="22"/>
        </w:rPr>
        <w:t>Purpose</w:t>
      </w:r>
      <w:bookmarkEnd w:id="2"/>
    </w:p>
    <w:p w14:paraId="2E22CEE1" w14:textId="0EA29BD2" w:rsidR="00946D0B" w:rsidRPr="00CD53DC" w:rsidRDefault="00DE2FD5" w:rsidP="00DB232B">
      <w:pPr>
        <w:spacing w:after="210" w:line="276" w:lineRule="auto"/>
        <w:jc w:val="both"/>
        <w:rPr>
          <w:rFonts w:ascii="Arial" w:hAnsi="Arial" w:cs="Arial"/>
          <w:sz w:val="22"/>
        </w:rPr>
      </w:pPr>
      <w:r w:rsidRPr="00CD53DC">
        <w:rPr>
          <w:rFonts w:ascii="Arial" w:eastAsia="Georgia" w:hAnsi="Arial" w:cs="Arial"/>
          <w:color w:val="000000"/>
          <w:sz w:val="22"/>
        </w:rPr>
        <w:t xml:space="preserve">This briefing </w:t>
      </w:r>
      <w:proofErr w:type="spellStart"/>
      <w:r w:rsidRPr="00CD53DC">
        <w:rPr>
          <w:rFonts w:ascii="Arial" w:eastAsia="Georgia" w:hAnsi="Arial" w:cs="Arial"/>
          <w:color w:val="000000"/>
          <w:sz w:val="22"/>
        </w:rPr>
        <w:t>summarises</w:t>
      </w:r>
      <w:proofErr w:type="spellEnd"/>
      <w:r w:rsidRPr="00CD53DC">
        <w:rPr>
          <w:rFonts w:ascii="Arial" w:eastAsia="Georgia" w:hAnsi="Arial" w:cs="Arial"/>
          <w:color w:val="000000"/>
          <w:sz w:val="22"/>
        </w:rPr>
        <w:t xml:space="preserve"> the principal obstacles to healthy aging globally, their strategic implications for public and private sectors, and recommended priorities for research and improved risk intelligence. It is aligned with the UN Decade of Healthy Ageing (2021–2030) and draws on current OECD, WHO, and peer-reviewed evidence.</w:t>
      </w:r>
    </w:p>
    <w:p w14:paraId="2E22CEE2" w14:textId="77777777" w:rsidR="00946D0B" w:rsidRPr="00CD53DC" w:rsidRDefault="00DE2FD5" w:rsidP="00DB232B">
      <w:pPr>
        <w:spacing w:before="315" w:after="105" w:line="276" w:lineRule="auto"/>
        <w:ind w:left="-30"/>
        <w:jc w:val="both"/>
        <w:rPr>
          <w:rFonts w:ascii="Arial" w:hAnsi="Arial" w:cs="Arial"/>
          <w:sz w:val="22"/>
        </w:rPr>
      </w:pPr>
      <w:bookmarkStart w:id="3" w:name="context"/>
      <w:r w:rsidRPr="00CD53DC">
        <w:rPr>
          <w:rFonts w:ascii="Arial" w:eastAsia="Georgia" w:hAnsi="Arial" w:cs="Arial"/>
          <w:b/>
          <w:color w:val="000000"/>
          <w:sz w:val="22"/>
        </w:rPr>
        <w:t>Context</w:t>
      </w:r>
      <w:bookmarkEnd w:id="3"/>
    </w:p>
    <w:p w14:paraId="2E22CEE4" w14:textId="4293294A" w:rsidR="00946D0B" w:rsidRPr="00CD53DC" w:rsidRDefault="00DE2FD5" w:rsidP="00DB232B">
      <w:pPr>
        <w:spacing w:after="210" w:line="276" w:lineRule="auto"/>
        <w:jc w:val="both"/>
        <w:rPr>
          <w:rFonts w:ascii="Arial" w:hAnsi="Arial" w:cs="Arial"/>
          <w:sz w:val="22"/>
        </w:rPr>
      </w:pPr>
      <w:r w:rsidRPr="00CD53DC">
        <w:rPr>
          <w:rFonts w:ascii="Arial" w:eastAsia="Georgia" w:hAnsi="Arial" w:cs="Arial"/>
          <w:color w:val="000000"/>
          <w:sz w:val="22"/>
        </w:rPr>
        <w:t>The share of people aged 65 and over across OECD countries is projected to reach 30% by 2060, with the 80+ cohort growing nearly two-and-a-half times by the same date. The old-age dependency ratio is forecast to rise from 33 to 52 per 100 working-age adults by 2050. These trends carry profound consequences for fiscal sustainability, health system capacity, and societal wellbeing.</w:t>
      </w:r>
    </w:p>
    <w:p w14:paraId="2E22CEE5" w14:textId="77777777" w:rsidR="00946D0B" w:rsidRPr="00CD53DC" w:rsidRDefault="00DE2FD5" w:rsidP="00DB232B">
      <w:pPr>
        <w:spacing w:before="315" w:after="105" w:line="276" w:lineRule="auto"/>
        <w:ind w:left="-30"/>
        <w:jc w:val="both"/>
        <w:rPr>
          <w:rFonts w:ascii="Arial" w:hAnsi="Arial" w:cs="Arial"/>
          <w:sz w:val="22"/>
        </w:rPr>
      </w:pPr>
      <w:bookmarkStart w:id="4" w:name="core_challenges"/>
      <w:r w:rsidRPr="00CD53DC">
        <w:rPr>
          <w:rFonts w:ascii="Arial" w:eastAsia="Georgia" w:hAnsi="Arial" w:cs="Arial"/>
          <w:b/>
          <w:color w:val="000000"/>
          <w:sz w:val="22"/>
        </w:rPr>
        <w:t>Core Challenges</w:t>
      </w:r>
      <w:bookmarkEnd w:id="4"/>
    </w:p>
    <w:p w14:paraId="2E22CEE6" w14:textId="77777777" w:rsidR="00946D0B" w:rsidRPr="00CD53DC" w:rsidRDefault="00DE2FD5" w:rsidP="00DB232B">
      <w:pPr>
        <w:spacing w:after="210" w:line="276" w:lineRule="auto"/>
        <w:jc w:val="both"/>
        <w:rPr>
          <w:rFonts w:ascii="Arial" w:hAnsi="Arial" w:cs="Arial"/>
          <w:sz w:val="22"/>
        </w:rPr>
      </w:pPr>
      <w:r w:rsidRPr="00CD53DC">
        <w:rPr>
          <w:rFonts w:ascii="Arial" w:eastAsia="Georgia" w:hAnsi="Arial" w:cs="Arial"/>
          <w:color w:val="000000"/>
          <w:sz w:val="22"/>
        </w:rPr>
        <w:t>Eight obstacles are common to virtually all jurisdictions, with varying severity and form:</w:t>
      </w:r>
    </w:p>
    <w:p w14:paraId="2E22CEE7" w14:textId="748DFFB0" w:rsidR="00946D0B" w:rsidRPr="00CD53DC" w:rsidRDefault="00DE2FD5" w:rsidP="00DB232B">
      <w:pPr>
        <w:numPr>
          <w:ilvl w:val="0"/>
          <w:numId w:val="1"/>
        </w:numPr>
        <w:spacing w:before="105" w:after="105" w:line="276" w:lineRule="auto"/>
        <w:jc w:val="both"/>
        <w:rPr>
          <w:rFonts w:ascii="Arial" w:hAnsi="Arial" w:cs="Arial"/>
          <w:sz w:val="22"/>
        </w:rPr>
      </w:pPr>
      <w:r w:rsidRPr="00CD53DC">
        <w:rPr>
          <w:rFonts w:ascii="Arial" w:eastAsia="Georgia" w:hAnsi="Arial" w:cs="Arial"/>
          <w:b/>
          <w:color w:val="000000"/>
          <w:sz w:val="22"/>
        </w:rPr>
        <w:t>Chronic disease and multimorbidity</w:t>
      </w:r>
      <w:r w:rsidR="00436F22" w:rsidRPr="00436F22">
        <w:rPr>
          <w:rFonts w:ascii="Arial" w:eastAsia="Georgia" w:hAnsi="Arial" w:cs="Arial"/>
          <w:b/>
          <w:color w:val="000000"/>
          <w:sz w:val="22"/>
        </w:rPr>
        <w:t>:</w:t>
      </w:r>
      <w:r w:rsidRPr="00436F22">
        <w:rPr>
          <w:rFonts w:ascii="Arial" w:eastAsia="Georgia" w:hAnsi="Arial" w:cs="Arial"/>
          <w:b/>
          <w:color w:val="000000"/>
          <w:sz w:val="22"/>
        </w:rPr>
        <w:t xml:space="preserve"> </w:t>
      </w:r>
      <w:r w:rsidRPr="00CD53DC">
        <w:rPr>
          <w:rFonts w:ascii="Arial" w:eastAsia="Georgia" w:hAnsi="Arial" w:cs="Arial"/>
          <w:color w:val="000000"/>
          <w:sz w:val="22"/>
        </w:rPr>
        <w:t>Approximately 46% of older adults globally live with two or more chronic conditions simultaneously, yet most health systems remain designed around single-disease, episodic care models.</w:t>
      </w:r>
    </w:p>
    <w:p w14:paraId="2E22CEE8" w14:textId="445EEADD" w:rsidR="00946D0B" w:rsidRPr="00CD53DC" w:rsidRDefault="00DE2FD5" w:rsidP="00DB232B">
      <w:pPr>
        <w:numPr>
          <w:ilvl w:val="0"/>
          <w:numId w:val="1"/>
        </w:numPr>
        <w:spacing w:before="105" w:after="105" w:line="276" w:lineRule="auto"/>
        <w:jc w:val="both"/>
        <w:rPr>
          <w:rFonts w:ascii="Arial" w:hAnsi="Arial" w:cs="Arial"/>
          <w:sz w:val="22"/>
        </w:rPr>
      </w:pPr>
      <w:r w:rsidRPr="00CD53DC">
        <w:rPr>
          <w:rFonts w:ascii="Arial" w:eastAsia="Georgia" w:hAnsi="Arial" w:cs="Arial"/>
          <w:b/>
          <w:color w:val="000000"/>
          <w:sz w:val="22"/>
        </w:rPr>
        <w:t>Health and care workforce shortages</w:t>
      </w:r>
      <w:r w:rsidR="00436F22" w:rsidRPr="00436F22">
        <w:rPr>
          <w:rFonts w:ascii="Arial" w:eastAsia="Georgia" w:hAnsi="Arial" w:cs="Arial"/>
          <w:b/>
          <w:color w:val="000000"/>
          <w:sz w:val="22"/>
        </w:rPr>
        <w:t>:</w:t>
      </w:r>
      <w:r w:rsidRPr="00CD53DC">
        <w:rPr>
          <w:rFonts w:ascii="Arial" w:eastAsia="Georgia" w:hAnsi="Arial" w:cs="Arial"/>
          <w:color w:val="000000"/>
          <w:sz w:val="22"/>
        </w:rPr>
        <w:t xml:space="preserve"> WHO projects a global shortfall of 4.1 million health workers by 2030. OECD countries will need an additional 13.5 million care workers by 2040, with Australia, Europe, and the United States already facing acute shortfalls.</w:t>
      </w:r>
    </w:p>
    <w:p w14:paraId="2E22CEE9" w14:textId="3DB14C5C" w:rsidR="00946D0B" w:rsidRPr="00CD53DC" w:rsidRDefault="00DE2FD5" w:rsidP="00DB232B">
      <w:pPr>
        <w:numPr>
          <w:ilvl w:val="0"/>
          <w:numId w:val="1"/>
        </w:numPr>
        <w:spacing w:before="105" w:after="105" w:line="276" w:lineRule="auto"/>
        <w:jc w:val="both"/>
        <w:rPr>
          <w:rFonts w:ascii="Arial" w:hAnsi="Arial" w:cs="Arial"/>
          <w:sz w:val="22"/>
        </w:rPr>
      </w:pPr>
      <w:r w:rsidRPr="00CD53DC">
        <w:rPr>
          <w:rFonts w:ascii="Arial" w:eastAsia="Georgia" w:hAnsi="Arial" w:cs="Arial"/>
          <w:b/>
          <w:color w:val="000000"/>
          <w:sz w:val="22"/>
        </w:rPr>
        <w:t>Long-term care (LTC) system gaps</w:t>
      </w:r>
      <w:r w:rsidR="00436F22" w:rsidRPr="00436F22">
        <w:rPr>
          <w:rFonts w:ascii="Arial" w:eastAsia="Georgia" w:hAnsi="Arial" w:cs="Arial"/>
          <w:b/>
          <w:color w:val="000000"/>
          <w:sz w:val="22"/>
        </w:rPr>
        <w:t>:</w:t>
      </w:r>
      <w:r w:rsidRPr="00CD53DC">
        <w:rPr>
          <w:rFonts w:ascii="Arial" w:eastAsia="Georgia" w:hAnsi="Arial" w:cs="Arial"/>
          <w:color w:val="000000"/>
          <w:sz w:val="22"/>
        </w:rPr>
        <w:t xml:space="preserve"> Continuous LTC support at home is available in only 30% of OECD countries; 40% impose limits on care hours. Waitlists for home care packages are growing rapidly across multiple jurisdictions.</w:t>
      </w:r>
    </w:p>
    <w:p w14:paraId="2E22CEEA" w14:textId="0FFB4867" w:rsidR="00946D0B" w:rsidRPr="00CD53DC" w:rsidRDefault="00DE2FD5" w:rsidP="00DB232B">
      <w:pPr>
        <w:numPr>
          <w:ilvl w:val="0"/>
          <w:numId w:val="1"/>
        </w:numPr>
        <w:spacing w:before="105" w:after="105" w:line="276" w:lineRule="auto"/>
        <w:jc w:val="both"/>
        <w:rPr>
          <w:rFonts w:ascii="Arial" w:hAnsi="Arial" w:cs="Arial"/>
          <w:sz w:val="22"/>
        </w:rPr>
      </w:pPr>
      <w:r w:rsidRPr="00CD53DC">
        <w:rPr>
          <w:rFonts w:ascii="Arial" w:eastAsia="Georgia" w:hAnsi="Arial" w:cs="Arial"/>
          <w:b/>
          <w:color w:val="000000"/>
          <w:sz w:val="22"/>
        </w:rPr>
        <w:t>Social isolation, ageism, and mental health</w:t>
      </w:r>
      <w:r w:rsidR="00436F22" w:rsidRPr="00436F22">
        <w:rPr>
          <w:rFonts w:ascii="Arial" w:eastAsia="Georgia" w:hAnsi="Arial" w:cs="Arial"/>
          <w:b/>
          <w:color w:val="000000"/>
          <w:sz w:val="22"/>
        </w:rPr>
        <w:t>:</w:t>
      </w:r>
      <w:r w:rsidRPr="00CD53DC">
        <w:rPr>
          <w:rFonts w:ascii="Arial" w:eastAsia="Georgia" w:hAnsi="Arial" w:cs="Arial"/>
          <w:color w:val="000000"/>
          <w:sz w:val="22"/>
        </w:rPr>
        <w:t xml:space="preserve"> At least one in two people globally hold ageist attitudes, and social isolation significantly elevates depression risk among older adults. Mental health services for older people are persistently underfunded and poorly integrated.</w:t>
      </w:r>
    </w:p>
    <w:p w14:paraId="2E22CEEB" w14:textId="7B7E45D4" w:rsidR="00946D0B" w:rsidRPr="00CD53DC" w:rsidRDefault="00DE2FD5" w:rsidP="00DB232B">
      <w:pPr>
        <w:numPr>
          <w:ilvl w:val="0"/>
          <w:numId w:val="1"/>
        </w:numPr>
        <w:spacing w:before="105" w:after="105" w:line="276" w:lineRule="auto"/>
        <w:jc w:val="both"/>
        <w:rPr>
          <w:rFonts w:ascii="Arial" w:hAnsi="Arial" w:cs="Arial"/>
          <w:sz w:val="22"/>
        </w:rPr>
      </w:pPr>
      <w:r w:rsidRPr="00CD53DC">
        <w:rPr>
          <w:rFonts w:ascii="Arial" w:eastAsia="Georgia" w:hAnsi="Arial" w:cs="Arial"/>
          <w:b/>
          <w:color w:val="000000"/>
          <w:sz w:val="22"/>
        </w:rPr>
        <w:t>Digital exclusion</w:t>
      </w:r>
      <w:r w:rsidR="00436F22" w:rsidRPr="00436F22">
        <w:rPr>
          <w:rFonts w:ascii="Arial" w:eastAsia="Georgia" w:hAnsi="Arial" w:cs="Arial"/>
          <w:b/>
          <w:color w:val="000000"/>
          <w:sz w:val="22"/>
        </w:rPr>
        <w:t>:</w:t>
      </w:r>
      <w:r w:rsidR="00436F22">
        <w:rPr>
          <w:rFonts w:ascii="Arial" w:eastAsia="Georgia" w:hAnsi="Arial" w:cs="Arial"/>
          <w:color w:val="000000"/>
          <w:sz w:val="22"/>
        </w:rPr>
        <w:t xml:space="preserve"> </w:t>
      </w:r>
      <w:r w:rsidRPr="00CD53DC">
        <w:rPr>
          <w:rFonts w:ascii="Arial" w:eastAsia="Georgia" w:hAnsi="Arial" w:cs="Arial"/>
          <w:color w:val="000000"/>
          <w:sz w:val="22"/>
        </w:rPr>
        <w:t xml:space="preserve">Multidimensional barriers </w:t>
      </w:r>
      <w:r w:rsidR="00253674">
        <w:rPr>
          <w:rFonts w:ascii="Arial" w:eastAsia="Georgia" w:hAnsi="Arial" w:cs="Arial"/>
          <w:color w:val="000000"/>
          <w:sz w:val="22"/>
        </w:rPr>
        <w:t>–</w:t>
      </w:r>
      <w:r w:rsidRPr="00CD53DC">
        <w:rPr>
          <w:rFonts w:ascii="Arial" w:eastAsia="Georgia" w:hAnsi="Arial" w:cs="Arial"/>
          <w:color w:val="000000"/>
          <w:sz w:val="22"/>
        </w:rPr>
        <w:t xml:space="preserve"> literacy, cost, interface design, and mistrust </w:t>
      </w:r>
      <w:r>
        <w:rPr>
          <w:rFonts w:ascii="Arial" w:eastAsia="Georgia" w:hAnsi="Arial" w:cs="Arial"/>
          <w:color w:val="000000"/>
          <w:sz w:val="22"/>
        </w:rPr>
        <w:t>–</w:t>
      </w:r>
      <w:r w:rsidRPr="00CD53DC">
        <w:rPr>
          <w:rFonts w:ascii="Arial" w:eastAsia="Georgia" w:hAnsi="Arial" w:cs="Arial"/>
          <w:color w:val="000000"/>
          <w:sz w:val="22"/>
        </w:rPr>
        <w:t xml:space="preserve"> prevent many older adults from accessing digital health services. Digitally driven reforms risk deepening health inequities if inclusive design principles are not applied.</w:t>
      </w:r>
    </w:p>
    <w:p w14:paraId="2E22CEEC" w14:textId="7A465E82" w:rsidR="00946D0B" w:rsidRPr="00CD53DC" w:rsidRDefault="00DE2FD5" w:rsidP="00DB232B">
      <w:pPr>
        <w:numPr>
          <w:ilvl w:val="0"/>
          <w:numId w:val="1"/>
        </w:numPr>
        <w:spacing w:before="105" w:after="105" w:line="276" w:lineRule="auto"/>
        <w:jc w:val="both"/>
        <w:rPr>
          <w:rFonts w:ascii="Arial" w:hAnsi="Arial" w:cs="Arial"/>
          <w:sz w:val="22"/>
        </w:rPr>
      </w:pPr>
      <w:r w:rsidRPr="00CD53DC">
        <w:rPr>
          <w:rFonts w:ascii="Arial" w:eastAsia="Georgia" w:hAnsi="Arial" w:cs="Arial"/>
          <w:b/>
          <w:color w:val="000000"/>
          <w:sz w:val="22"/>
        </w:rPr>
        <w:t>Dementia</w:t>
      </w:r>
      <w:r w:rsidR="00436F22">
        <w:rPr>
          <w:rFonts w:ascii="Arial" w:eastAsia="Georgia" w:hAnsi="Arial" w:cs="Arial"/>
          <w:color w:val="000000"/>
          <w:sz w:val="22"/>
        </w:rPr>
        <w:t>:</w:t>
      </w:r>
      <w:r w:rsidRPr="00CD53DC">
        <w:rPr>
          <w:rFonts w:ascii="Arial" w:eastAsia="Georgia" w:hAnsi="Arial" w:cs="Arial"/>
          <w:color w:val="000000"/>
          <w:sz w:val="22"/>
        </w:rPr>
        <w:t xml:space="preserve"> Cases are projected to rise from 57 million in 2019 to 153 million by 2050, yet only approximately 39 WHO member states have adopted a national dementia plan.</w:t>
      </w:r>
    </w:p>
    <w:p w14:paraId="06E37158" w14:textId="77777777" w:rsidR="009C6A61" w:rsidRDefault="009C6A61">
      <w:pPr>
        <w:rPr>
          <w:rFonts w:ascii="Arial" w:eastAsia="Georgia" w:hAnsi="Arial" w:cs="Arial"/>
          <w:b/>
          <w:color w:val="000000"/>
          <w:sz w:val="22"/>
        </w:rPr>
      </w:pPr>
      <w:r>
        <w:rPr>
          <w:rFonts w:ascii="Arial" w:eastAsia="Georgia" w:hAnsi="Arial" w:cs="Arial"/>
          <w:b/>
          <w:color w:val="000000"/>
          <w:sz w:val="22"/>
        </w:rPr>
        <w:br w:type="page"/>
      </w:r>
    </w:p>
    <w:p w14:paraId="2E22CEED" w14:textId="590A9ADA" w:rsidR="00946D0B" w:rsidRPr="00CD53DC" w:rsidRDefault="00DE2FD5" w:rsidP="00DB232B">
      <w:pPr>
        <w:numPr>
          <w:ilvl w:val="0"/>
          <w:numId w:val="1"/>
        </w:numPr>
        <w:spacing w:before="105" w:after="105" w:line="276" w:lineRule="auto"/>
        <w:jc w:val="both"/>
        <w:rPr>
          <w:rFonts w:ascii="Arial" w:hAnsi="Arial" w:cs="Arial"/>
          <w:sz w:val="22"/>
        </w:rPr>
      </w:pPr>
      <w:r w:rsidRPr="00CD53DC">
        <w:rPr>
          <w:rFonts w:ascii="Arial" w:eastAsia="Georgia" w:hAnsi="Arial" w:cs="Arial"/>
          <w:b/>
          <w:color w:val="000000"/>
          <w:sz w:val="22"/>
        </w:rPr>
        <w:lastRenderedPageBreak/>
        <w:t>Fiscal sustainability</w:t>
      </w:r>
      <w:r w:rsidR="00436F22" w:rsidRPr="00436F22">
        <w:rPr>
          <w:rFonts w:ascii="Arial" w:eastAsia="Georgia" w:hAnsi="Arial" w:cs="Arial"/>
          <w:b/>
          <w:color w:val="000000"/>
          <w:sz w:val="22"/>
        </w:rPr>
        <w:t>:</w:t>
      </w:r>
      <w:r w:rsidRPr="00CD53DC">
        <w:rPr>
          <w:rFonts w:ascii="Arial" w:eastAsia="Georgia" w:hAnsi="Arial" w:cs="Arial"/>
          <w:color w:val="000000"/>
          <w:sz w:val="22"/>
        </w:rPr>
        <w:t xml:space="preserve"> Without corrective action, age-related fiscal pressure will increase by approximately 6.25 percentage points of GDP in the average OECD country between 2024 and 2060. Pension systems face compounding stress from lower birth rates and longer life expectancies.</w:t>
      </w:r>
    </w:p>
    <w:p w14:paraId="2E22CEEF" w14:textId="34834188" w:rsidR="00946D0B" w:rsidRPr="00CD53DC" w:rsidRDefault="00DE2FD5" w:rsidP="00DB232B">
      <w:pPr>
        <w:numPr>
          <w:ilvl w:val="0"/>
          <w:numId w:val="1"/>
        </w:numPr>
        <w:spacing w:before="105" w:after="105" w:line="276" w:lineRule="auto"/>
        <w:jc w:val="both"/>
        <w:rPr>
          <w:rFonts w:ascii="Arial" w:hAnsi="Arial" w:cs="Arial"/>
          <w:sz w:val="22"/>
        </w:rPr>
      </w:pPr>
      <w:r w:rsidRPr="00436F22">
        <w:rPr>
          <w:rFonts w:ascii="Arial" w:eastAsia="Georgia" w:hAnsi="Arial" w:cs="Arial"/>
          <w:b/>
          <w:color w:val="000000"/>
          <w:sz w:val="22"/>
        </w:rPr>
        <w:t>Climate and environmental health risks</w:t>
      </w:r>
      <w:r w:rsidR="00436F22" w:rsidRPr="00436F22">
        <w:rPr>
          <w:rFonts w:ascii="Arial" w:eastAsia="Georgia" w:hAnsi="Arial" w:cs="Arial"/>
          <w:b/>
          <w:color w:val="000000"/>
          <w:sz w:val="22"/>
        </w:rPr>
        <w:t>:</w:t>
      </w:r>
      <w:r w:rsidRPr="00CD53DC">
        <w:rPr>
          <w:rFonts w:ascii="Arial" w:eastAsia="Georgia" w:hAnsi="Arial" w:cs="Arial"/>
          <w:color w:val="000000"/>
          <w:sz w:val="22"/>
        </w:rPr>
        <w:t xml:space="preserve"> Between 177 and 246 million additional older adults are projected to face dangerous heat exposure by 2050, yet this risk remains marginal in most national aging strategies.</w:t>
      </w:r>
    </w:p>
    <w:p w14:paraId="2E22CEF0" w14:textId="77777777" w:rsidR="00946D0B" w:rsidRPr="00CD53DC" w:rsidRDefault="00DE2FD5" w:rsidP="00DB232B">
      <w:pPr>
        <w:spacing w:before="315" w:after="105" w:line="276" w:lineRule="auto"/>
        <w:ind w:left="-30"/>
        <w:jc w:val="both"/>
        <w:rPr>
          <w:rFonts w:ascii="Arial" w:hAnsi="Arial" w:cs="Arial"/>
          <w:sz w:val="22"/>
        </w:rPr>
      </w:pPr>
      <w:bookmarkStart w:id="5" w:name="strategic_implications"/>
      <w:r w:rsidRPr="00CD53DC">
        <w:rPr>
          <w:rFonts w:ascii="Arial" w:eastAsia="Georgia" w:hAnsi="Arial" w:cs="Arial"/>
          <w:b/>
          <w:color w:val="000000"/>
          <w:sz w:val="22"/>
        </w:rPr>
        <w:t>Strategic Implications</w:t>
      </w:r>
      <w:bookmarkEnd w:id="5"/>
    </w:p>
    <w:p w14:paraId="2E22CEF1" w14:textId="56C5C9BA" w:rsidR="00946D0B" w:rsidRPr="00CD53DC" w:rsidRDefault="00DE2FD5" w:rsidP="00DB232B">
      <w:pPr>
        <w:spacing w:after="210" w:line="276" w:lineRule="auto"/>
        <w:jc w:val="both"/>
        <w:rPr>
          <w:rFonts w:ascii="Arial" w:hAnsi="Arial" w:cs="Arial"/>
          <w:sz w:val="22"/>
        </w:rPr>
      </w:pPr>
      <w:r w:rsidRPr="00CD53DC">
        <w:rPr>
          <w:rFonts w:ascii="Arial" w:eastAsia="Georgia" w:hAnsi="Arial" w:cs="Arial"/>
          <w:b/>
          <w:color w:val="000000"/>
          <w:sz w:val="22"/>
        </w:rPr>
        <w:t>Public sector:</w:t>
      </w:r>
      <w:r w:rsidRPr="00CD53DC">
        <w:rPr>
          <w:rFonts w:ascii="Arial" w:eastAsia="Georgia" w:hAnsi="Arial" w:cs="Arial"/>
          <w:color w:val="000000"/>
          <w:sz w:val="22"/>
        </w:rPr>
        <w:t xml:space="preserve"> Governments face structural fiscal pressure requiring reform of health, LTC, and pension systems. Health systems must shift from acute hospital care toward integrated primary and community-based models </w:t>
      </w:r>
      <w:r w:rsidR="00253674">
        <w:rPr>
          <w:rFonts w:ascii="Arial" w:eastAsia="Georgia" w:hAnsi="Arial" w:cs="Arial"/>
          <w:color w:val="000000"/>
          <w:sz w:val="22"/>
        </w:rPr>
        <w:t>–</w:t>
      </w:r>
      <w:r w:rsidRPr="00CD53DC">
        <w:rPr>
          <w:rFonts w:ascii="Arial" w:eastAsia="Georgia" w:hAnsi="Arial" w:cs="Arial"/>
          <w:color w:val="000000"/>
          <w:sz w:val="22"/>
        </w:rPr>
        <w:t xml:space="preserve"> OECD analysis shows that over 10% of LTC spending is misallocated to hospitals. Workforce development and age-friendly housing and infrastructure investment are immediate priorities. Failure to act risks cascading service failures, widening inequity, and reduced social cohesion.</w:t>
      </w:r>
    </w:p>
    <w:p w14:paraId="2E22CEF3" w14:textId="7965A5B7" w:rsidR="00946D0B" w:rsidRPr="00CD53DC" w:rsidRDefault="00DE2FD5" w:rsidP="00DB232B">
      <w:pPr>
        <w:spacing w:after="210" w:line="276" w:lineRule="auto"/>
        <w:jc w:val="both"/>
        <w:rPr>
          <w:rFonts w:ascii="Arial" w:hAnsi="Arial" w:cs="Arial"/>
          <w:sz w:val="22"/>
        </w:rPr>
      </w:pPr>
      <w:r w:rsidRPr="00CD53DC">
        <w:rPr>
          <w:rFonts w:ascii="Arial" w:eastAsia="Georgia" w:hAnsi="Arial" w:cs="Arial"/>
          <w:b/>
          <w:color w:val="000000"/>
          <w:sz w:val="22"/>
        </w:rPr>
        <w:t>Private sector:</w:t>
      </w:r>
      <w:r w:rsidRPr="00CD53DC">
        <w:rPr>
          <w:rFonts w:ascii="Arial" w:eastAsia="Georgia" w:hAnsi="Arial" w:cs="Arial"/>
          <w:color w:val="000000"/>
          <w:sz w:val="22"/>
        </w:rPr>
        <w:t xml:space="preserve"> The global Silver Economy </w:t>
      </w:r>
      <w:r w:rsidR="00253674">
        <w:rPr>
          <w:rFonts w:ascii="Arial" w:eastAsia="Georgia" w:hAnsi="Arial" w:cs="Arial"/>
          <w:color w:val="000000"/>
          <w:sz w:val="22"/>
        </w:rPr>
        <w:t>–</w:t>
      </w:r>
      <w:r w:rsidRPr="00CD53DC">
        <w:rPr>
          <w:rFonts w:ascii="Arial" w:eastAsia="Georgia" w:hAnsi="Arial" w:cs="Arial"/>
          <w:color w:val="000000"/>
          <w:sz w:val="22"/>
        </w:rPr>
        <w:t xml:space="preserve"> goods and services for people aged 60 and over </w:t>
      </w:r>
      <w:r w:rsidR="00253674">
        <w:rPr>
          <w:rFonts w:ascii="Arial" w:eastAsia="Georgia" w:hAnsi="Arial" w:cs="Arial"/>
          <w:color w:val="000000"/>
          <w:sz w:val="22"/>
        </w:rPr>
        <w:t xml:space="preserve">– w </w:t>
      </w:r>
      <w:r w:rsidRPr="00CD53DC">
        <w:rPr>
          <w:rFonts w:ascii="Arial" w:eastAsia="Georgia" w:hAnsi="Arial" w:cs="Arial"/>
          <w:color w:val="000000"/>
          <w:sz w:val="22"/>
        </w:rPr>
        <w:t>as valued at USD 4.2 trillion in 2025 and is growing at approximately 7.6% annually. McKinsey analysis estimates that every USD 1 invested in healthy aging yields USD 3 in economic returns. Key opportunities include digital health, adapted housing, financial services, and care provision. Simultaneously, businesses face workforce aging, talent shortages, and growing regulatory exposure. Technology companies hold a pivotal role, but must co-design products with older users to avoid exacerbating digital inequity.</w:t>
      </w:r>
    </w:p>
    <w:p w14:paraId="2E22CEF4" w14:textId="77777777" w:rsidR="00946D0B" w:rsidRPr="00CD53DC" w:rsidRDefault="00DE2FD5" w:rsidP="00DB232B">
      <w:pPr>
        <w:spacing w:before="315" w:after="105" w:line="276" w:lineRule="auto"/>
        <w:ind w:left="-30"/>
        <w:jc w:val="both"/>
        <w:rPr>
          <w:rFonts w:ascii="Arial" w:hAnsi="Arial" w:cs="Arial"/>
          <w:sz w:val="22"/>
        </w:rPr>
      </w:pPr>
      <w:bookmarkStart w:id="6" w:name="recommended_focus_areas"/>
      <w:r w:rsidRPr="00CD53DC">
        <w:rPr>
          <w:rFonts w:ascii="Arial" w:eastAsia="Georgia" w:hAnsi="Arial" w:cs="Arial"/>
          <w:b/>
          <w:color w:val="000000"/>
          <w:sz w:val="22"/>
        </w:rPr>
        <w:t>Recommended Focus Areas</w:t>
      </w:r>
      <w:bookmarkEnd w:id="6"/>
    </w:p>
    <w:p w14:paraId="2E22CEF5" w14:textId="6356EF91" w:rsidR="00946D0B" w:rsidRPr="00CD53DC" w:rsidRDefault="00DE2FD5" w:rsidP="00DB232B">
      <w:pPr>
        <w:spacing w:after="210" w:line="276" w:lineRule="auto"/>
        <w:jc w:val="both"/>
        <w:rPr>
          <w:rFonts w:ascii="Arial" w:hAnsi="Arial" w:cs="Arial"/>
          <w:sz w:val="22"/>
        </w:rPr>
      </w:pPr>
      <w:r w:rsidRPr="00CD53DC">
        <w:rPr>
          <w:rFonts w:ascii="Arial" w:eastAsia="Georgia" w:hAnsi="Arial" w:cs="Arial"/>
          <w:b/>
          <w:color w:val="000000"/>
          <w:sz w:val="22"/>
        </w:rPr>
        <w:t>Research priorities:</w:t>
      </w:r>
    </w:p>
    <w:p w14:paraId="2E22CEF6" w14:textId="7DC866E9" w:rsidR="00946D0B" w:rsidRPr="00CD53DC" w:rsidRDefault="00DE2FD5" w:rsidP="00DB232B">
      <w:pPr>
        <w:numPr>
          <w:ilvl w:val="0"/>
          <w:numId w:val="2"/>
        </w:numPr>
        <w:spacing w:before="105" w:after="105" w:line="276" w:lineRule="auto"/>
        <w:jc w:val="both"/>
        <w:rPr>
          <w:rFonts w:ascii="Arial" w:hAnsi="Arial" w:cs="Arial"/>
          <w:sz w:val="22"/>
        </w:rPr>
      </w:pPr>
      <w:proofErr w:type="spellStart"/>
      <w:r w:rsidRPr="00CD53DC">
        <w:rPr>
          <w:rFonts w:ascii="Arial" w:eastAsia="Georgia" w:hAnsi="Arial" w:cs="Arial"/>
          <w:color w:val="000000"/>
          <w:sz w:val="22"/>
        </w:rPr>
        <w:t>Standardise</w:t>
      </w:r>
      <w:proofErr w:type="spellEnd"/>
      <w:r w:rsidRPr="00CD53DC">
        <w:rPr>
          <w:rFonts w:ascii="Arial" w:eastAsia="Georgia" w:hAnsi="Arial" w:cs="Arial"/>
          <w:color w:val="000000"/>
          <w:sz w:val="22"/>
        </w:rPr>
        <w:t xml:space="preserve"> the definition and measurement of healthy aging to enable cross-country policy comparison</w:t>
      </w:r>
    </w:p>
    <w:p w14:paraId="2E22CEF7" w14:textId="7B260533" w:rsidR="00946D0B" w:rsidRPr="00CD53DC" w:rsidRDefault="00DE2FD5" w:rsidP="00DB232B">
      <w:pPr>
        <w:numPr>
          <w:ilvl w:val="0"/>
          <w:numId w:val="2"/>
        </w:numPr>
        <w:spacing w:before="105" w:after="105" w:line="276" w:lineRule="auto"/>
        <w:jc w:val="both"/>
        <w:rPr>
          <w:rFonts w:ascii="Arial" w:hAnsi="Arial" w:cs="Arial"/>
          <w:sz w:val="22"/>
        </w:rPr>
      </w:pPr>
      <w:r w:rsidRPr="00CD53DC">
        <w:rPr>
          <w:rFonts w:ascii="Arial" w:eastAsia="Georgia" w:hAnsi="Arial" w:cs="Arial"/>
          <w:color w:val="000000"/>
          <w:sz w:val="22"/>
        </w:rPr>
        <w:t>Build robust economic evaluations of preventive interventions at population scale</w:t>
      </w:r>
    </w:p>
    <w:p w14:paraId="2E22CEF8" w14:textId="091D00A4" w:rsidR="00946D0B" w:rsidRPr="00CD53DC" w:rsidRDefault="00DE2FD5" w:rsidP="00DB232B">
      <w:pPr>
        <w:numPr>
          <w:ilvl w:val="0"/>
          <w:numId w:val="2"/>
        </w:numPr>
        <w:spacing w:before="105" w:after="105" w:line="276" w:lineRule="auto"/>
        <w:jc w:val="both"/>
        <w:rPr>
          <w:rFonts w:ascii="Arial" w:hAnsi="Arial" w:cs="Arial"/>
          <w:sz w:val="22"/>
        </w:rPr>
      </w:pPr>
      <w:r w:rsidRPr="00CD53DC">
        <w:rPr>
          <w:rFonts w:ascii="Arial" w:eastAsia="Georgia" w:hAnsi="Arial" w:cs="Arial"/>
          <w:color w:val="000000"/>
          <w:sz w:val="22"/>
        </w:rPr>
        <w:t xml:space="preserve">Examine digital health equity </w:t>
      </w:r>
      <w:r w:rsidR="00253674">
        <w:rPr>
          <w:rFonts w:ascii="Arial" w:eastAsia="Georgia" w:hAnsi="Arial" w:cs="Arial"/>
          <w:color w:val="000000"/>
          <w:sz w:val="22"/>
        </w:rPr>
        <w:t xml:space="preserve">– </w:t>
      </w:r>
      <w:r w:rsidRPr="00CD53DC">
        <w:rPr>
          <w:rFonts w:ascii="Arial" w:eastAsia="Georgia" w:hAnsi="Arial" w:cs="Arial"/>
          <w:color w:val="000000"/>
          <w:sz w:val="22"/>
        </w:rPr>
        <w:t>which interventions produce equitable outcomes and which widen disparities</w:t>
      </w:r>
    </w:p>
    <w:p w14:paraId="2E22CEF9" w14:textId="7DF15499" w:rsidR="00946D0B" w:rsidRPr="00CD53DC" w:rsidRDefault="00DE2FD5" w:rsidP="00DB232B">
      <w:pPr>
        <w:numPr>
          <w:ilvl w:val="0"/>
          <w:numId w:val="2"/>
        </w:numPr>
        <w:spacing w:before="105" w:after="105" w:line="276" w:lineRule="auto"/>
        <w:jc w:val="both"/>
        <w:rPr>
          <w:rFonts w:ascii="Arial" w:hAnsi="Arial" w:cs="Arial"/>
          <w:sz w:val="22"/>
        </w:rPr>
      </w:pPr>
      <w:r w:rsidRPr="00CD53DC">
        <w:rPr>
          <w:rFonts w:ascii="Arial" w:eastAsia="Georgia" w:hAnsi="Arial" w:cs="Arial"/>
          <w:color w:val="000000"/>
          <w:sz w:val="22"/>
        </w:rPr>
        <w:t>Accelerate dementia prevention, rehabilitation, and primary care integration research</w:t>
      </w:r>
    </w:p>
    <w:p w14:paraId="2E22CEFA" w14:textId="4D78208C" w:rsidR="00946D0B" w:rsidRPr="00CD53DC" w:rsidRDefault="00DE2FD5" w:rsidP="00DB232B">
      <w:pPr>
        <w:numPr>
          <w:ilvl w:val="0"/>
          <w:numId w:val="2"/>
        </w:numPr>
        <w:spacing w:before="105" w:after="105" w:line="276" w:lineRule="auto"/>
        <w:jc w:val="both"/>
        <w:rPr>
          <w:rFonts w:ascii="Arial" w:hAnsi="Arial" w:cs="Arial"/>
          <w:sz w:val="22"/>
        </w:rPr>
      </w:pPr>
      <w:r w:rsidRPr="00CD53DC">
        <w:rPr>
          <w:rFonts w:ascii="Arial" w:eastAsia="Georgia" w:hAnsi="Arial" w:cs="Arial"/>
          <w:color w:val="000000"/>
          <w:sz w:val="22"/>
        </w:rPr>
        <w:t>Map climate-aging intersections, especially geographic heat vulnerability hotspots among older populations</w:t>
      </w:r>
    </w:p>
    <w:p w14:paraId="672752DD" w14:textId="6D17E051" w:rsidR="00436F22" w:rsidRPr="009C6A61" w:rsidRDefault="00DE2FD5" w:rsidP="009C6A61">
      <w:pPr>
        <w:numPr>
          <w:ilvl w:val="0"/>
          <w:numId w:val="2"/>
        </w:numPr>
        <w:spacing w:before="105" w:after="105" w:line="276" w:lineRule="auto"/>
        <w:jc w:val="both"/>
        <w:rPr>
          <w:rFonts w:ascii="Arial" w:hAnsi="Arial" w:cs="Arial"/>
          <w:sz w:val="22"/>
        </w:rPr>
      </w:pPr>
      <w:r w:rsidRPr="00CD53DC">
        <w:rPr>
          <w:rFonts w:ascii="Arial" w:eastAsia="Georgia" w:hAnsi="Arial" w:cs="Arial"/>
          <w:color w:val="000000"/>
          <w:sz w:val="22"/>
        </w:rPr>
        <w:t xml:space="preserve">Investigate informal </w:t>
      </w:r>
      <w:proofErr w:type="spellStart"/>
      <w:r w:rsidRPr="00CD53DC">
        <w:rPr>
          <w:rFonts w:ascii="Arial" w:eastAsia="Georgia" w:hAnsi="Arial" w:cs="Arial"/>
          <w:color w:val="000000"/>
          <w:sz w:val="22"/>
        </w:rPr>
        <w:t>carer</w:t>
      </w:r>
      <w:proofErr w:type="spellEnd"/>
      <w:r w:rsidRPr="00CD53DC">
        <w:rPr>
          <w:rFonts w:ascii="Arial" w:eastAsia="Georgia" w:hAnsi="Arial" w:cs="Arial"/>
          <w:color w:val="000000"/>
          <w:sz w:val="22"/>
        </w:rPr>
        <w:t xml:space="preserve"> health and </w:t>
      </w:r>
      <w:proofErr w:type="spellStart"/>
      <w:r w:rsidRPr="00CD53DC">
        <w:rPr>
          <w:rFonts w:ascii="Arial" w:eastAsia="Georgia" w:hAnsi="Arial" w:cs="Arial"/>
          <w:color w:val="000000"/>
          <w:sz w:val="22"/>
        </w:rPr>
        <w:t>labour</w:t>
      </w:r>
      <w:proofErr w:type="spellEnd"/>
      <w:r w:rsidRPr="00CD53DC">
        <w:rPr>
          <w:rFonts w:ascii="Arial" w:eastAsia="Georgia" w:hAnsi="Arial" w:cs="Arial"/>
          <w:color w:val="000000"/>
          <w:sz w:val="22"/>
        </w:rPr>
        <w:t xml:space="preserve"> market impacts to inform sustainable LTC policy</w:t>
      </w:r>
      <w:r w:rsidR="00CD53DC">
        <w:rPr>
          <w:rFonts w:ascii="Arial" w:eastAsia="Georgia" w:hAnsi="Arial" w:cs="Arial"/>
          <w:color w:val="000000"/>
          <w:sz w:val="22"/>
        </w:rPr>
        <w:t>.</w:t>
      </w:r>
    </w:p>
    <w:p w14:paraId="16528C57" w14:textId="77777777" w:rsidR="009C6A61" w:rsidRDefault="009C6A61">
      <w:pPr>
        <w:rPr>
          <w:rFonts w:ascii="Arial" w:eastAsia="Georgia" w:hAnsi="Arial" w:cs="Arial"/>
          <w:b/>
          <w:color w:val="000000"/>
          <w:sz w:val="22"/>
        </w:rPr>
      </w:pPr>
      <w:r>
        <w:rPr>
          <w:rFonts w:ascii="Arial" w:eastAsia="Georgia" w:hAnsi="Arial" w:cs="Arial"/>
          <w:b/>
          <w:color w:val="000000"/>
          <w:sz w:val="22"/>
        </w:rPr>
        <w:br w:type="page"/>
      </w:r>
    </w:p>
    <w:p w14:paraId="38495186" w14:textId="0C9CF30A" w:rsidR="00253674" w:rsidRPr="00253674" w:rsidRDefault="00DE2FD5" w:rsidP="00253674">
      <w:pPr>
        <w:spacing w:after="210" w:line="276" w:lineRule="auto"/>
        <w:jc w:val="both"/>
        <w:rPr>
          <w:rFonts w:ascii="Arial" w:hAnsi="Arial" w:cs="Arial"/>
          <w:sz w:val="22"/>
        </w:rPr>
      </w:pPr>
      <w:r w:rsidRPr="00CD53DC">
        <w:rPr>
          <w:rFonts w:ascii="Arial" w:eastAsia="Georgia" w:hAnsi="Arial" w:cs="Arial"/>
          <w:b/>
          <w:color w:val="000000"/>
          <w:sz w:val="22"/>
        </w:rPr>
        <w:lastRenderedPageBreak/>
        <w:t xml:space="preserve">Enhancing risk intelligence and </w:t>
      </w:r>
      <w:r w:rsidR="00CD53DC" w:rsidRPr="00CD53DC">
        <w:rPr>
          <w:rFonts w:ascii="Arial" w:eastAsia="Georgia" w:hAnsi="Arial" w:cs="Arial"/>
          <w:b/>
          <w:color w:val="000000"/>
          <w:sz w:val="22"/>
        </w:rPr>
        <w:t xml:space="preserve">effective </w:t>
      </w:r>
      <w:r w:rsidRPr="00CD53DC">
        <w:rPr>
          <w:rFonts w:ascii="Arial" w:eastAsia="Georgia" w:hAnsi="Arial" w:cs="Arial"/>
          <w:b/>
          <w:color w:val="000000"/>
          <w:sz w:val="22"/>
        </w:rPr>
        <w:t>decision-making</w:t>
      </w:r>
      <w:r w:rsidR="00CD53DC" w:rsidRPr="00CD53DC">
        <w:rPr>
          <w:rFonts w:ascii="Arial" w:eastAsia="Georgia" w:hAnsi="Arial" w:cs="Arial"/>
          <w:b/>
          <w:color w:val="000000"/>
          <w:sz w:val="22"/>
        </w:rPr>
        <w:t xml:space="preserve"> </w:t>
      </w:r>
      <w:r w:rsidR="00DB232B">
        <w:rPr>
          <w:rFonts w:ascii="Arial" w:eastAsia="Georgia" w:hAnsi="Arial" w:cs="Arial"/>
          <w:b/>
          <w:color w:val="000000"/>
          <w:sz w:val="22"/>
        </w:rPr>
        <w:t>a</w:t>
      </w:r>
      <w:r w:rsidR="00CD53DC" w:rsidRPr="00CD53DC">
        <w:rPr>
          <w:rFonts w:ascii="Arial" w:eastAsia="Georgia" w:hAnsi="Arial" w:cs="Arial"/>
          <w:b/>
          <w:color w:val="000000"/>
          <w:sz w:val="22"/>
        </w:rPr>
        <w:t>rchitecture</w:t>
      </w:r>
      <w:r w:rsidRPr="00CD53DC">
        <w:rPr>
          <w:rFonts w:ascii="Arial" w:eastAsia="Georgia" w:hAnsi="Arial" w:cs="Arial"/>
          <w:b/>
          <w:color w:val="000000"/>
          <w:sz w:val="22"/>
        </w:rPr>
        <w:t>:</w:t>
      </w:r>
    </w:p>
    <w:p w14:paraId="2E22CEFD" w14:textId="44DB9E00" w:rsidR="00946D0B" w:rsidRPr="00CD53DC" w:rsidRDefault="00DE2FD5" w:rsidP="00DB232B">
      <w:pPr>
        <w:numPr>
          <w:ilvl w:val="0"/>
          <w:numId w:val="3"/>
        </w:numPr>
        <w:spacing w:before="105" w:after="105" w:line="276" w:lineRule="auto"/>
        <w:jc w:val="both"/>
        <w:rPr>
          <w:rFonts w:ascii="Arial" w:hAnsi="Arial" w:cs="Arial"/>
          <w:sz w:val="22"/>
        </w:rPr>
      </w:pPr>
      <w:r w:rsidRPr="00DB232B">
        <w:rPr>
          <w:rFonts w:ascii="Arial" w:eastAsia="Georgia" w:hAnsi="Arial" w:cs="Arial"/>
          <w:color w:val="000000"/>
          <w:sz w:val="22"/>
        </w:rPr>
        <w:t>Adopt whole-of-government risk frameworks that</w:t>
      </w:r>
      <w:r w:rsidRPr="00CD53DC">
        <w:rPr>
          <w:rFonts w:ascii="Arial" w:eastAsia="Georgia" w:hAnsi="Arial" w:cs="Arial"/>
          <w:color w:val="000000"/>
          <w:sz w:val="22"/>
        </w:rPr>
        <w:t xml:space="preserve"> span finance, housing, employment, health, and climate portfolios, using the OECD Fiscal Implications of Ageing framework as a foundation</w:t>
      </w:r>
      <w:r w:rsidR="00CD53DC">
        <w:rPr>
          <w:rFonts w:ascii="Arial" w:eastAsia="Georgia" w:hAnsi="Arial" w:cs="Arial"/>
          <w:color w:val="000000"/>
          <w:sz w:val="22"/>
        </w:rPr>
        <w:t>.</w:t>
      </w:r>
    </w:p>
    <w:p w14:paraId="2E22CEFE" w14:textId="14CD2F4B" w:rsidR="00946D0B" w:rsidRPr="00DB232B" w:rsidRDefault="00DE2FD5" w:rsidP="00DB232B">
      <w:pPr>
        <w:numPr>
          <w:ilvl w:val="0"/>
          <w:numId w:val="3"/>
        </w:numPr>
        <w:spacing w:before="105" w:after="105" w:line="276" w:lineRule="auto"/>
        <w:jc w:val="both"/>
        <w:rPr>
          <w:rFonts w:ascii="Arial" w:hAnsi="Arial" w:cs="Arial"/>
          <w:sz w:val="22"/>
        </w:rPr>
      </w:pPr>
      <w:r w:rsidRPr="00CD53DC">
        <w:rPr>
          <w:rFonts w:ascii="Arial" w:eastAsia="Georgia" w:hAnsi="Arial" w:cs="Arial"/>
          <w:color w:val="000000"/>
          <w:sz w:val="22"/>
        </w:rPr>
        <w:t xml:space="preserve">Invest in </w:t>
      </w:r>
      <w:r w:rsidRPr="00DB232B">
        <w:rPr>
          <w:rFonts w:ascii="Arial" w:eastAsia="Georgia" w:hAnsi="Arial" w:cs="Arial"/>
          <w:color w:val="000000"/>
          <w:sz w:val="22"/>
        </w:rPr>
        <w:t>longitudinal, equity-disaggregated data on older adult health trajectories, linked to administrative health and social care datasets</w:t>
      </w:r>
      <w:r w:rsidR="00CD53DC" w:rsidRPr="00DB232B">
        <w:rPr>
          <w:rFonts w:ascii="Arial" w:eastAsia="Georgia" w:hAnsi="Arial" w:cs="Arial"/>
          <w:color w:val="000000"/>
          <w:sz w:val="22"/>
        </w:rPr>
        <w:t>.</w:t>
      </w:r>
    </w:p>
    <w:p w14:paraId="2E22CEFF" w14:textId="15539AA4" w:rsidR="00946D0B" w:rsidRPr="00DB232B" w:rsidRDefault="00DE2FD5" w:rsidP="00DB232B">
      <w:pPr>
        <w:numPr>
          <w:ilvl w:val="0"/>
          <w:numId w:val="3"/>
        </w:numPr>
        <w:spacing w:before="105" w:after="105" w:line="276" w:lineRule="auto"/>
        <w:jc w:val="both"/>
        <w:rPr>
          <w:rFonts w:ascii="Arial" w:hAnsi="Arial" w:cs="Arial"/>
          <w:sz w:val="22"/>
        </w:rPr>
      </w:pPr>
      <w:r w:rsidRPr="00DB232B">
        <w:rPr>
          <w:rFonts w:ascii="Arial" w:eastAsia="Georgia" w:hAnsi="Arial" w:cs="Arial"/>
          <w:color w:val="000000"/>
          <w:sz w:val="22"/>
        </w:rPr>
        <w:t xml:space="preserve">Commission </w:t>
      </w:r>
      <w:r w:rsidR="009C6A61">
        <w:rPr>
          <w:rFonts w:ascii="Arial" w:eastAsia="Georgia" w:hAnsi="Arial" w:cs="Arial"/>
          <w:color w:val="000000"/>
          <w:sz w:val="22"/>
        </w:rPr>
        <w:t xml:space="preserve">government-appointed focus groups to complete </w:t>
      </w:r>
      <w:r w:rsidRPr="00DB232B">
        <w:rPr>
          <w:rFonts w:ascii="Arial" w:eastAsia="Georgia" w:hAnsi="Arial" w:cs="Arial"/>
          <w:color w:val="000000"/>
          <w:sz w:val="22"/>
        </w:rPr>
        <w:t>multi-scenario foresight analyses that stress-test current policy settings against demographic, technological, and climate projections over 20</w:t>
      </w:r>
      <w:r w:rsidR="00253674">
        <w:rPr>
          <w:rFonts w:ascii="Arial" w:eastAsia="Georgia" w:hAnsi="Arial" w:cs="Arial"/>
          <w:color w:val="000000"/>
          <w:sz w:val="22"/>
        </w:rPr>
        <w:t xml:space="preserve"> to </w:t>
      </w:r>
      <w:r w:rsidRPr="00DB232B">
        <w:rPr>
          <w:rFonts w:ascii="Arial" w:eastAsia="Georgia" w:hAnsi="Arial" w:cs="Arial"/>
          <w:color w:val="000000"/>
          <w:sz w:val="22"/>
        </w:rPr>
        <w:t>40</w:t>
      </w:r>
      <w:r w:rsidR="00253674">
        <w:rPr>
          <w:rFonts w:ascii="Arial" w:eastAsia="Georgia" w:hAnsi="Arial" w:cs="Arial"/>
          <w:color w:val="000000"/>
          <w:sz w:val="22"/>
        </w:rPr>
        <w:t>-</w:t>
      </w:r>
      <w:r w:rsidRPr="00DB232B">
        <w:rPr>
          <w:rFonts w:ascii="Arial" w:eastAsia="Georgia" w:hAnsi="Arial" w:cs="Arial"/>
          <w:color w:val="000000"/>
          <w:sz w:val="22"/>
        </w:rPr>
        <w:t>year horizons</w:t>
      </w:r>
      <w:r w:rsidR="00CD53DC" w:rsidRPr="00DB232B">
        <w:rPr>
          <w:rFonts w:ascii="Arial" w:eastAsia="Georgia" w:hAnsi="Arial" w:cs="Arial"/>
          <w:color w:val="000000"/>
          <w:sz w:val="22"/>
        </w:rPr>
        <w:t>.</w:t>
      </w:r>
    </w:p>
    <w:p w14:paraId="2E22CF00" w14:textId="41A8A899" w:rsidR="00946D0B" w:rsidRPr="00DB232B" w:rsidRDefault="00DE2FD5" w:rsidP="00DB232B">
      <w:pPr>
        <w:numPr>
          <w:ilvl w:val="0"/>
          <w:numId w:val="3"/>
        </w:numPr>
        <w:spacing w:before="105" w:after="105" w:line="276" w:lineRule="auto"/>
        <w:jc w:val="both"/>
        <w:rPr>
          <w:rFonts w:ascii="Arial" w:hAnsi="Arial" w:cs="Arial"/>
          <w:sz w:val="22"/>
        </w:rPr>
      </w:pPr>
      <w:r w:rsidRPr="00DB232B">
        <w:rPr>
          <w:rFonts w:ascii="Arial" w:eastAsia="Georgia" w:hAnsi="Arial" w:cs="Arial"/>
          <w:color w:val="000000"/>
          <w:sz w:val="22"/>
        </w:rPr>
        <w:t xml:space="preserve">Establish structured evidence-to-policy translation mechanisms </w:t>
      </w:r>
      <w:r w:rsidR="009C6A61">
        <w:rPr>
          <w:rFonts w:ascii="Arial" w:eastAsia="Georgia" w:hAnsi="Arial" w:cs="Arial"/>
          <w:color w:val="000000"/>
          <w:sz w:val="22"/>
        </w:rPr>
        <w:t>– I</w:t>
      </w:r>
      <w:r w:rsidRPr="00DB232B">
        <w:rPr>
          <w:rFonts w:ascii="Arial" w:eastAsia="Georgia" w:hAnsi="Arial" w:cs="Arial"/>
          <w:color w:val="000000"/>
          <w:sz w:val="22"/>
        </w:rPr>
        <w:t>ncluding research translation functions within ministries, independent expert advisory groups, and routine economic modelling of policy options</w:t>
      </w:r>
      <w:r w:rsidR="00CD53DC" w:rsidRPr="00DB232B">
        <w:rPr>
          <w:rFonts w:ascii="Arial" w:eastAsia="Georgia" w:hAnsi="Arial" w:cs="Arial"/>
          <w:color w:val="000000"/>
          <w:sz w:val="22"/>
        </w:rPr>
        <w:t>.</w:t>
      </w:r>
    </w:p>
    <w:p w14:paraId="2E22CF02" w14:textId="74F8688D" w:rsidR="00946D0B" w:rsidRPr="00CD53DC" w:rsidRDefault="00DE2FD5" w:rsidP="00DB232B">
      <w:pPr>
        <w:numPr>
          <w:ilvl w:val="0"/>
          <w:numId w:val="3"/>
        </w:numPr>
        <w:spacing w:before="105" w:after="105" w:line="276" w:lineRule="auto"/>
        <w:jc w:val="both"/>
        <w:rPr>
          <w:rFonts w:ascii="Arial" w:hAnsi="Arial" w:cs="Arial"/>
          <w:sz w:val="22"/>
        </w:rPr>
      </w:pPr>
      <w:r w:rsidRPr="00DB232B">
        <w:rPr>
          <w:rFonts w:ascii="Arial" w:eastAsia="Georgia" w:hAnsi="Arial" w:cs="Arial"/>
          <w:color w:val="000000"/>
          <w:sz w:val="22"/>
        </w:rPr>
        <w:t>Implement real-time outcome monitoring against</w:t>
      </w:r>
      <w:r w:rsidRPr="00CD53DC">
        <w:rPr>
          <w:rFonts w:ascii="Arial" w:eastAsia="Georgia" w:hAnsi="Arial" w:cs="Arial"/>
          <w:color w:val="000000"/>
          <w:sz w:val="22"/>
        </w:rPr>
        <w:t xml:space="preserve"> clear public targets: functional ability trends, avoidable </w:t>
      </w:r>
      <w:proofErr w:type="spellStart"/>
      <w:r w:rsidRPr="00CD53DC">
        <w:rPr>
          <w:rFonts w:ascii="Arial" w:eastAsia="Georgia" w:hAnsi="Arial" w:cs="Arial"/>
          <w:color w:val="000000"/>
          <w:sz w:val="22"/>
        </w:rPr>
        <w:t>hospitalisation</w:t>
      </w:r>
      <w:proofErr w:type="spellEnd"/>
      <w:r w:rsidRPr="00CD53DC">
        <w:rPr>
          <w:rFonts w:ascii="Arial" w:eastAsia="Georgia" w:hAnsi="Arial" w:cs="Arial"/>
          <w:color w:val="000000"/>
          <w:sz w:val="22"/>
        </w:rPr>
        <w:t xml:space="preserve"> rates, unmet LTC need, and older adults' self-reported quality of life</w:t>
      </w:r>
      <w:r w:rsidR="00CD53DC">
        <w:rPr>
          <w:rFonts w:ascii="Arial" w:eastAsia="Georgia" w:hAnsi="Arial" w:cs="Arial"/>
          <w:color w:val="000000"/>
          <w:sz w:val="22"/>
        </w:rPr>
        <w:t>.</w:t>
      </w:r>
    </w:p>
    <w:p w14:paraId="2E22CF03" w14:textId="77777777" w:rsidR="00946D0B" w:rsidRPr="00CD53DC" w:rsidRDefault="00DE2FD5" w:rsidP="00DB232B">
      <w:pPr>
        <w:spacing w:before="315" w:after="105" w:line="276" w:lineRule="auto"/>
        <w:ind w:left="-30"/>
        <w:jc w:val="both"/>
        <w:rPr>
          <w:rFonts w:ascii="Arial" w:hAnsi="Arial" w:cs="Arial"/>
          <w:sz w:val="22"/>
        </w:rPr>
      </w:pPr>
      <w:bookmarkStart w:id="7" w:name="conclusion"/>
      <w:r w:rsidRPr="00CD53DC">
        <w:rPr>
          <w:rFonts w:ascii="Arial" w:eastAsia="Georgia" w:hAnsi="Arial" w:cs="Arial"/>
          <w:b/>
          <w:color w:val="000000"/>
          <w:sz w:val="22"/>
        </w:rPr>
        <w:t>Conclusion</w:t>
      </w:r>
      <w:bookmarkEnd w:id="7"/>
    </w:p>
    <w:p w14:paraId="2E22CF27" w14:textId="00732656" w:rsidR="00946D0B" w:rsidRPr="00CD53DC" w:rsidRDefault="00DE2FD5" w:rsidP="00DB232B">
      <w:pPr>
        <w:spacing w:after="210" w:line="276" w:lineRule="auto"/>
        <w:jc w:val="both"/>
        <w:rPr>
          <w:rFonts w:ascii="Arial" w:hAnsi="Arial" w:cs="Arial"/>
          <w:sz w:val="22"/>
        </w:rPr>
      </w:pPr>
      <w:r w:rsidRPr="00CD53DC">
        <w:rPr>
          <w:rFonts w:ascii="Arial" w:eastAsia="Georgia" w:hAnsi="Arial" w:cs="Arial"/>
          <w:color w:val="000000"/>
          <w:sz w:val="22"/>
        </w:rPr>
        <w:t xml:space="preserve">The obstacles outlined above are interconnected, mutually reinforcing, and, without deliberate action, will compound in severity. Equally, the evidence is clear that investment in healthy aging produces strong economic, social, and fiscal returns. The strategic window for reform </w:t>
      </w:r>
      <w:r w:rsidR="009C6A61">
        <w:rPr>
          <w:rFonts w:ascii="Arial" w:eastAsia="Georgia" w:hAnsi="Arial" w:cs="Arial"/>
          <w:color w:val="000000"/>
          <w:sz w:val="22"/>
        </w:rPr>
        <w:t>–</w:t>
      </w:r>
      <w:r w:rsidRPr="00CD53DC">
        <w:rPr>
          <w:rFonts w:ascii="Arial" w:eastAsia="Georgia" w:hAnsi="Arial" w:cs="Arial"/>
          <w:color w:val="000000"/>
          <w:sz w:val="22"/>
        </w:rPr>
        <w:t xml:space="preserve"> </w:t>
      </w:r>
      <w:r w:rsidR="009C6A61">
        <w:rPr>
          <w:rFonts w:ascii="Arial" w:eastAsia="Georgia" w:hAnsi="Arial" w:cs="Arial"/>
          <w:color w:val="000000"/>
          <w:sz w:val="22"/>
        </w:rPr>
        <w:t>b</w:t>
      </w:r>
      <w:r w:rsidRPr="00CD53DC">
        <w:rPr>
          <w:rFonts w:ascii="Arial" w:eastAsia="Georgia" w:hAnsi="Arial" w:cs="Arial"/>
          <w:color w:val="000000"/>
          <w:sz w:val="22"/>
        </w:rPr>
        <w:t>efore demographic pressures peak — is narrowing. Governments, the private sector, and the research community must act with shared resolve to ensure that longer lives are also lives well-lived.</w:t>
      </w:r>
    </w:p>
    <w:sectPr w:rsidR="00946D0B" w:rsidRPr="00CD53DC">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3D9"/>
    <w:multiLevelType w:val="hybridMultilevel"/>
    <w:tmpl w:val="8F540800"/>
    <w:lvl w:ilvl="0" w:tplc="6B32FF32">
      <w:start w:val="1"/>
      <w:numFmt w:val="decimal"/>
      <w:lvlText w:val="%1."/>
      <w:lvlJc w:val="left"/>
      <w:pPr>
        <w:tabs>
          <w:tab w:val="num" w:pos="900"/>
        </w:tabs>
        <w:ind w:left="540" w:hanging="360"/>
      </w:pPr>
    </w:lvl>
    <w:lvl w:ilvl="1" w:tplc="A8D2F210">
      <w:numFmt w:val="decimal"/>
      <w:lvlText w:val=""/>
      <w:lvlJc w:val="left"/>
    </w:lvl>
    <w:lvl w:ilvl="2" w:tplc="EDE87C92">
      <w:numFmt w:val="decimal"/>
      <w:lvlText w:val=""/>
      <w:lvlJc w:val="left"/>
    </w:lvl>
    <w:lvl w:ilvl="3" w:tplc="8E609A5E">
      <w:numFmt w:val="decimal"/>
      <w:lvlText w:val=""/>
      <w:lvlJc w:val="left"/>
    </w:lvl>
    <w:lvl w:ilvl="4" w:tplc="72D266EA">
      <w:numFmt w:val="decimal"/>
      <w:lvlText w:val=""/>
      <w:lvlJc w:val="left"/>
    </w:lvl>
    <w:lvl w:ilvl="5" w:tplc="98266CAE">
      <w:numFmt w:val="decimal"/>
      <w:lvlText w:val=""/>
      <w:lvlJc w:val="left"/>
    </w:lvl>
    <w:lvl w:ilvl="6" w:tplc="DB3ABEFC">
      <w:numFmt w:val="decimal"/>
      <w:lvlText w:val=""/>
      <w:lvlJc w:val="left"/>
    </w:lvl>
    <w:lvl w:ilvl="7" w:tplc="48DCA7B0">
      <w:numFmt w:val="decimal"/>
      <w:lvlText w:val=""/>
      <w:lvlJc w:val="left"/>
    </w:lvl>
    <w:lvl w:ilvl="8" w:tplc="8BBAF2EC">
      <w:numFmt w:val="decimal"/>
      <w:lvlText w:val=""/>
      <w:lvlJc w:val="left"/>
    </w:lvl>
  </w:abstractNum>
  <w:abstractNum w:abstractNumId="1" w15:restartNumberingAfterBreak="0">
    <w:nsid w:val="35DC73ED"/>
    <w:multiLevelType w:val="hybridMultilevel"/>
    <w:tmpl w:val="247AC168"/>
    <w:lvl w:ilvl="0" w:tplc="355EDA74">
      <w:start w:val="1"/>
      <w:numFmt w:val="decimal"/>
      <w:lvlText w:val="%1."/>
      <w:lvlJc w:val="left"/>
      <w:pPr>
        <w:tabs>
          <w:tab w:val="num" w:pos="900"/>
        </w:tabs>
        <w:ind w:left="540" w:hanging="360"/>
      </w:pPr>
    </w:lvl>
    <w:lvl w:ilvl="1" w:tplc="2AAA4AB2">
      <w:numFmt w:val="decimal"/>
      <w:lvlText w:val=""/>
      <w:lvlJc w:val="left"/>
    </w:lvl>
    <w:lvl w:ilvl="2" w:tplc="11EE1406">
      <w:numFmt w:val="decimal"/>
      <w:lvlText w:val=""/>
      <w:lvlJc w:val="left"/>
    </w:lvl>
    <w:lvl w:ilvl="3" w:tplc="A824E43E">
      <w:numFmt w:val="decimal"/>
      <w:lvlText w:val=""/>
      <w:lvlJc w:val="left"/>
    </w:lvl>
    <w:lvl w:ilvl="4" w:tplc="B9D48FCA">
      <w:numFmt w:val="decimal"/>
      <w:lvlText w:val=""/>
      <w:lvlJc w:val="left"/>
    </w:lvl>
    <w:lvl w:ilvl="5" w:tplc="E4D8AE80">
      <w:numFmt w:val="decimal"/>
      <w:lvlText w:val=""/>
      <w:lvlJc w:val="left"/>
    </w:lvl>
    <w:lvl w:ilvl="6" w:tplc="011252FC">
      <w:numFmt w:val="decimal"/>
      <w:lvlText w:val=""/>
      <w:lvlJc w:val="left"/>
    </w:lvl>
    <w:lvl w:ilvl="7" w:tplc="09509870">
      <w:numFmt w:val="decimal"/>
      <w:lvlText w:val=""/>
      <w:lvlJc w:val="left"/>
    </w:lvl>
    <w:lvl w:ilvl="8" w:tplc="6EE8262E">
      <w:numFmt w:val="decimal"/>
      <w:lvlText w:val=""/>
      <w:lvlJc w:val="left"/>
    </w:lvl>
  </w:abstractNum>
  <w:abstractNum w:abstractNumId="2" w15:restartNumberingAfterBreak="0">
    <w:nsid w:val="50021038"/>
    <w:multiLevelType w:val="hybridMultilevel"/>
    <w:tmpl w:val="AF6E8342"/>
    <w:lvl w:ilvl="0" w:tplc="04FA69F0">
      <w:start w:val="1"/>
      <w:numFmt w:val="bullet"/>
      <w:lvlText w:val=""/>
      <w:lvlJc w:val="left"/>
      <w:pPr>
        <w:tabs>
          <w:tab w:val="num" w:pos="900"/>
        </w:tabs>
        <w:ind w:left="540" w:hanging="360"/>
      </w:pPr>
      <w:rPr>
        <w:rFonts w:ascii="Symbol" w:hAnsi="Symbol" w:hint="default"/>
      </w:rPr>
    </w:lvl>
    <w:lvl w:ilvl="1" w:tplc="792639D8">
      <w:numFmt w:val="decimal"/>
      <w:lvlText w:val=""/>
      <w:lvlJc w:val="left"/>
    </w:lvl>
    <w:lvl w:ilvl="2" w:tplc="5D9EE3DA">
      <w:numFmt w:val="decimal"/>
      <w:lvlText w:val=""/>
      <w:lvlJc w:val="left"/>
    </w:lvl>
    <w:lvl w:ilvl="3" w:tplc="ABD0BE96">
      <w:numFmt w:val="decimal"/>
      <w:lvlText w:val=""/>
      <w:lvlJc w:val="left"/>
    </w:lvl>
    <w:lvl w:ilvl="4" w:tplc="3962E22E">
      <w:numFmt w:val="decimal"/>
      <w:lvlText w:val=""/>
      <w:lvlJc w:val="left"/>
    </w:lvl>
    <w:lvl w:ilvl="5" w:tplc="941EA616">
      <w:numFmt w:val="decimal"/>
      <w:lvlText w:val=""/>
      <w:lvlJc w:val="left"/>
    </w:lvl>
    <w:lvl w:ilvl="6" w:tplc="212883BC">
      <w:numFmt w:val="decimal"/>
      <w:lvlText w:val=""/>
      <w:lvlJc w:val="left"/>
    </w:lvl>
    <w:lvl w:ilvl="7" w:tplc="69AA3C9E">
      <w:numFmt w:val="decimal"/>
      <w:lvlText w:val=""/>
      <w:lvlJc w:val="left"/>
    </w:lvl>
    <w:lvl w:ilvl="8" w:tplc="03F88BD2">
      <w:numFmt w:val="decimal"/>
      <w:lvlText w:val=""/>
      <w:lvlJc w:val="left"/>
    </w:lvl>
  </w:abstractNum>
  <w:abstractNum w:abstractNumId="3" w15:restartNumberingAfterBreak="0">
    <w:nsid w:val="6DFF0F99"/>
    <w:multiLevelType w:val="hybridMultilevel"/>
    <w:tmpl w:val="0AFA87B0"/>
    <w:lvl w:ilvl="0" w:tplc="D2E060DC">
      <w:start w:val="1"/>
      <w:numFmt w:val="bullet"/>
      <w:lvlText w:val=""/>
      <w:lvlJc w:val="left"/>
      <w:pPr>
        <w:tabs>
          <w:tab w:val="num" w:pos="900"/>
        </w:tabs>
        <w:ind w:left="540" w:hanging="360"/>
      </w:pPr>
      <w:rPr>
        <w:rFonts w:ascii="Symbol" w:hAnsi="Symbol" w:hint="default"/>
      </w:rPr>
    </w:lvl>
    <w:lvl w:ilvl="1" w:tplc="30C66E3C">
      <w:numFmt w:val="decimal"/>
      <w:lvlText w:val=""/>
      <w:lvlJc w:val="left"/>
    </w:lvl>
    <w:lvl w:ilvl="2" w:tplc="89E211A0">
      <w:numFmt w:val="decimal"/>
      <w:lvlText w:val=""/>
      <w:lvlJc w:val="left"/>
    </w:lvl>
    <w:lvl w:ilvl="3" w:tplc="AB186868">
      <w:numFmt w:val="decimal"/>
      <w:lvlText w:val=""/>
      <w:lvlJc w:val="left"/>
    </w:lvl>
    <w:lvl w:ilvl="4" w:tplc="D5D84EAC">
      <w:numFmt w:val="decimal"/>
      <w:lvlText w:val=""/>
      <w:lvlJc w:val="left"/>
    </w:lvl>
    <w:lvl w:ilvl="5" w:tplc="8E6C2E5E">
      <w:numFmt w:val="decimal"/>
      <w:lvlText w:val=""/>
      <w:lvlJc w:val="left"/>
    </w:lvl>
    <w:lvl w:ilvl="6" w:tplc="2DBA9982">
      <w:numFmt w:val="decimal"/>
      <w:lvlText w:val=""/>
      <w:lvlJc w:val="left"/>
    </w:lvl>
    <w:lvl w:ilvl="7" w:tplc="7EBC5566">
      <w:numFmt w:val="decimal"/>
      <w:lvlText w:val=""/>
      <w:lvlJc w:val="left"/>
    </w:lvl>
    <w:lvl w:ilvl="8" w:tplc="A64C2ED2">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trackRevisions/>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0B"/>
    <w:rsid w:val="001D56FB"/>
    <w:rsid w:val="00253674"/>
    <w:rsid w:val="00436F22"/>
    <w:rsid w:val="00946D0B"/>
    <w:rsid w:val="009C6A61"/>
    <w:rsid w:val="00CD53DC"/>
    <w:rsid w:val="00DB232B"/>
    <w:rsid w:val="00DE2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CEDC"/>
  <w15:docId w15:val="{AC693CAB-FF5D-449B-9F14-E84422D4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928</Words>
  <Characters>5294</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William</cp:lastModifiedBy>
  <cp:revision>4</cp:revision>
  <dcterms:created xsi:type="dcterms:W3CDTF">2026-04-17T05:43:00Z</dcterms:created>
  <dcterms:modified xsi:type="dcterms:W3CDTF">2026-04-17T05:54:00Z</dcterms:modified>
</cp:coreProperties>
</file>